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3D" w:rsidRDefault="0029103D">
      <w:pPr>
        <w:widowControl w:val="0"/>
        <w:pBdr>
          <w:top w:val="nil"/>
          <w:left w:val="nil"/>
          <w:bottom w:val="nil"/>
          <w:right w:val="nil"/>
          <w:between w:val="nil"/>
        </w:pBdr>
        <w:spacing w:line="276" w:lineRule="auto"/>
      </w:pPr>
    </w:p>
    <w:p w:rsidR="0029103D" w:rsidRDefault="00EC2048">
      <w:pPr>
        <w:ind w:right="27"/>
        <w:jc w:val="right"/>
        <w:rPr>
          <w:rFonts w:ascii="EB Garamond" w:eastAsia="EB Garamond" w:hAnsi="EB Garamond" w:cs="EB Garamond"/>
          <w:b/>
          <w:sz w:val="44"/>
          <w:szCs w:val="44"/>
        </w:rPr>
      </w:pPr>
      <w:r>
        <w:rPr>
          <w:rFonts w:ascii="EB Garamond" w:eastAsia="EB Garamond" w:hAnsi="EB Garamond" w:cs="EB Garamond"/>
          <w:b/>
          <w:noProof/>
          <w:sz w:val="56"/>
          <w:szCs w:val="56"/>
        </w:rPr>
        <w:drawing>
          <wp:anchor distT="0" distB="0" distL="114300" distR="114300" simplePos="0" relativeHeight="251658240" behindDoc="0" locked="0" layoutInCell="1" hidden="0" allowOverlap="1">
            <wp:simplePos x="0" y="0"/>
            <wp:positionH relativeFrom="margin">
              <wp:posOffset>-154304</wp:posOffset>
            </wp:positionH>
            <wp:positionV relativeFrom="margin">
              <wp:posOffset>-91439</wp:posOffset>
            </wp:positionV>
            <wp:extent cx="1435735" cy="143573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5735" cy="1435735"/>
                    </a:xfrm>
                    <a:prstGeom prst="rect">
                      <a:avLst/>
                    </a:prstGeom>
                    <a:ln/>
                  </pic:spPr>
                </pic:pic>
              </a:graphicData>
            </a:graphic>
          </wp:anchor>
        </w:drawing>
      </w:r>
      <w:r>
        <w:rPr>
          <w:rFonts w:ascii="EB Garamond" w:eastAsia="EB Garamond" w:hAnsi="EB Garamond" w:cs="EB Garamond"/>
          <w:b/>
          <w:sz w:val="56"/>
          <w:szCs w:val="56"/>
        </w:rPr>
        <w:t>Palliser School Division</w:t>
      </w:r>
    </w:p>
    <w:p w:rsidR="0029103D" w:rsidRDefault="00EC2048">
      <w:pPr>
        <w:spacing w:line="280" w:lineRule="auto"/>
        <w:ind w:right="27"/>
        <w:jc w:val="right"/>
        <w:rPr>
          <w:rFonts w:ascii="EB Garamond" w:eastAsia="EB Garamond" w:hAnsi="EB Garamond" w:cs="EB Garamond"/>
          <w:b/>
          <w:sz w:val="32"/>
          <w:szCs w:val="32"/>
        </w:rPr>
      </w:pPr>
      <w:r>
        <w:rPr>
          <w:rFonts w:ascii="EB Garamond" w:eastAsia="EB Garamond" w:hAnsi="EB Garamond" w:cs="EB Garamond"/>
          <w:b/>
          <w:sz w:val="32"/>
          <w:szCs w:val="32"/>
        </w:rPr>
        <w:t>Palliser Centre</w:t>
      </w:r>
    </w:p>
    <w:p w:rsidR="0029103D" w:rsidRDefault="00EC2048">
      <w:pPr>
        <w:ind w:right="27"/>
        <w:jc w:val="right"/>
        <w:rPr>
          <w:rFonts w:ascii="Garamond" w:eastAsia="Garamond" w:hAnsi="Garamond" w:cs="Garamond"/>
          <w:sz w:val="24"/>
          <w:szCs w:val="24"/>
        </w:rPr>
      </w:pPr>
      <w:r>
        <w:rPr>
          <w:rFonts w:ascii="Garamond" w:eastAsia="Garamond" w:hAnsi="Garamond" w:cs="Garamond"/>
          <w:sz w:val="24"/>
          <w:szCs w:val="24"/>
        </w:rPr>
        <w:t xml:space="preserve">#101, 3305 - 18 Avenue North, Lethbridge, </w:t>
      </w:r>
      <w:proofErr w:type="gramStart"/>
      <w:r>
        <w:rPr>
          <w:rFonts w:ascii="Garamond" w:eastAsia="Garamond" w:hAnsi="Garamond" w:cs="Garamond"/>
          <w:sz w:val="24"/>
          <w:szCs w:val="24"/>
        </w:rPr>
        <w:t>AB  T</w:t>
      </w:r>
      <w:proofErr w:type="gramEnd"/>
      <w:r>
        <w:rPr>
          <w:rFonts w:ascii="Garamond" w:eastAsia="Garamond" w:hAnsi="Garamond" w:cs="Garamond"/>
          <w:sz w:val="24"/>
          <w:szCs w:val="24"/>
        </w:rPr>
        <w:t>1H 5S1</w:t>
      </w:r>
    </w:p>
    <w:p w:rsidR="0029103D" w:rsidRDefault="00EC2048">
      <w:pPr>
        <w:ind w:right="27"/>
        <w:jc w:val="right"/>
        <w:rPr>
          <w:rFonts w:ascii="Garamond" w:eastAsia="Garamond" w:hAnsi="Garamond" w:cs="Garamond"/>
          <w:sz w:val="24"/>
          <w:szCs w:val="24"/>
        </w:rPr>
      </w:pPr>
      <w:r>
        <w:rPr>
          <w:rFonts w:ascii="Garamond" w:eastAsia="Garamond" w:hAnsi="Garamond" w:cs="Garamond"/>
          <w:sz w:val="24"/>
          <w:szCs w:val="24"/>
        </w:rPr>
        <w:t>Phone: 403-328-4111    Toll-free: 877-667-1234</w:t>
      </w:r>
    </w:p>
    <w:p w:rsidR="0029103D" w:rsidRDefault="00EC2048">
      <w:pPr>
        <w:ind w:right="27"/>
        <w:jc w:val="right"/>
        <w:rPr>
          <w:rFonts w:ascii="Garamond" w:eastAsia="Garamond" w:hAnsi="Garamond" w:cs="Garamond"/>
          <w:sz w:val="24"/>
          <w:szCs w:val="24"/>
        </w:rPr>
      </w:pPr>
      <w:r>
        <w:rPr>
          <w:rFonts w:ascii="Garamond" w:eastAsia="Garamond" w:hAnsi="Garamond" w:cs="Garamond"/>
          <w:sz w:val="24"/>
          <w:szCs w:val="24"/>
        </w:rPr>
        <w:t xml:space="preserve">Fax: 403-380-6890   </w:t>
      </w:r>
    </w:p>
    <w:p w:rsidR="0029103D" w:rsidRDefault="00EC2048">
      <w:pPr>
        <w:ind w:right="27"/>
        <w:jc w:val="right"/>
        <w:rPr>
          <w:rFonts w:ascii="Garamond" w:eastAsia="Garamond" w:hAnsi="Garamond" w:cs="Garamond"/>
          <w:sz w:val="24"/>
          <w:szCs w:val="24"/>
        </w:rPr>
      </w:pPr>
      <w:r>
        <w:rPr>
          <w:rFonts w:ascii="Garamond" w:eastAsia="Garamond" w:hAnsi="Garamond" w:cs="Garamond"/>
          <w:sz w:val="24"/>
          <w:szCs w:val="24"/>
        </w:rPr>
        <w:t xml:space="preserve"> </w:t>
      </w:r>
      <w:hyperlink r:id="rId8">
        <w:r>
          <w:rPr>
            <w:rFonts w:ascii="Garamond" w:eastAsia="Garamond" w:hAnsi="Garamond" w:cs="Garamond"/>
            <w:color w:val="0000FF"/>
            <w:sz w:val="24"/>
            <w:szCs w:val="24"/>
            <w:u w:val="single"/>
          </w:rPr>
          <w:t>www.pallisersd.ab.ca</w:t>
        </w:r>
      </w:hyperlink>
    </w:p>
    <w:p w:rsidR="0029103D" w:rsidRDefault="0029103D">
      <w:pPr>
        <w:ind w:right="27"/>
        <w:jc w:val="right"/>
        <w:rPr>
          <w:rFonts w:ascii="Garamond" w:eastAsia="Garamond" w:hAnsi="Garamond" w:cs="Garamond"/>
          <w:sz w:val="24"/>
          <w:szCs w:val="24"/>
        </w:rPr>
      </w:pPr>
    </w:p>
    <w:p w:rsidR="0029103D" w:rsidRDefault="00EC2048">
      <w:pPr>
        <w:ind w:right="27"/>
        <w:jc w:val="right"/>
        <w:rPr>
          <w:rFonts w:ascii="Garamond" w:eastAsia="Garamond" w:hAnsi="Garamond" w:cs="Garamond"/>
          <w:sz w:val="28"/>
          <w:szCs w:val="28"/>
          <w:u w:val="singl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1270000</wp:posOffset>
                </wp:positionH>
                <wp:positionV relativeFrom="paragraph">
                  <wp:posOffset>25400</wp:posOffset>
                </wp:positionV>
                <wp:extent cx="552196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585020" y="3780000"/>
                          <a:ext cx="5521960" cy="0"/>
                        </a:xfrm>
                        <a:prstGeom prst="straightConnector1">
                          <a:avLst/>
                        </a:prstGeom>
                        <a:noFill/>
                        <a:ln w="25400" cap="flat" cmpd="sng">
                          <a:solidFill>
                            <a:srgbClr val="7F7F7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1270000</wp:posOffset>
                </wp:positionH>
                <wp:positionV relativeFrom="paragraph">
                  <wp:posOffset>25400</wp:posOffset>
                </wp:positionV>
                <wp:extent cx="5521960" cy="25400"/>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521960" cy="25400"/>
                        </a:xfrm>
                        <a:prstGeom prst="rect"/>
                        <a:ln/>
                      </pic:spPr>
                    </pic:pic>
                  </a:graphicData>
                </a:graphic>
              </wp:anchor>
            </w:drawing>
          </mc:Fallback>
        </mc:AlternateContent>
      </w:r>
    </w:p>
    <w:p w:rsidR="004A6839" w:rsidRPr="004A6839" w:rsidRDefault="004A6839" w:rsidP="004A6839">
      <w:pPr>
        <w:rPr>
          <w:b/>
          <w:sz w:val="32"/>
          <w:szCs w:val="32"/>
          <w:u w:val="single"/>
        </w:rPr>
      </w:pPr>
      <w:bookmarkStart w:id="0" w:name="_GoBack"/>
      <w:r w:rsidRPr="004A6839">
        <w:rPr>
          <w:b/>
          <w:sz w:val="32"/>
          <w:szCs w:val="32"/>
          <w:u w:val="single"/>
        </w:rPr>
        <w:t>Fees</w:t>
      </w:r>
    </w:p>
    <w:bookmarkEnd w:id="0"/>
    <w:p w:rsidR="004A6839" w:rsidRDefault="004A6839" w:rsidP="004A6839"/>
    <w:p w:rsidR="004A6839" w:rsidRPr="004A6839" w:rsidRDefault="004A6839" w:rsidP="004A6839">
      <w:pPr>
        <w:rPr>
          <w:b/>
        </w:rPr>
      </w:pPr>
      <w:r w:rsidRPr="004A6839">
        <w:rPr>
          <w:b/>
        </w:rPr>
        <w:t>Fees and Tuition</w:t>
      </w:r>
    </w:p>
    <w:p w:rsidR="004A6839" w:rsidRDefault="004A6839" w:rsidP="004A6839">
      <w:r>
        <w:t>The following fees are required to be paid</w:t>
      </w:r>
      <w:r>
        <w:t xml:space="preserve"> in full</w:t>
      </w:r>
      <w:r>
        <w:t xml:space="preserve"> by all parents for the 2021-22 school year. </w:t>
      </w:r>
    </w:p>
    <w:p w:rsidR="004A6839" w:rsidRDefault="004A6839" w:rsidP="004A6839"/>
    <w:p w:rsidR="004A6839" w:rsidRPr="004A6839" w:rsidRDefault="004A6839" w:rsidP="004A6839">
      <w:pPr>
        <w:rPr>
          <w:b/>
        </w:rPr>
      </w:pPr>
      <w:r w:rsidRPr="004A6839">
        <w:rPr>
          <w:b/>
        </w:rPr>
        <w:t>Registration Fee</w:t>
      </w:r>
    </w:p>
    <w:p w:rsidR="004A6839" w:rsidRDefault="004A6839" w:rsidP="004A6839">
      <w:r>
        <w:t>A non-refundable registration fee of $200 per child.</w:t>
      </w:r>
    </w:p>
    <w:p w:rsidR="004A6839" w:rsidRDefault="004A6839" w:rsidP="004A6839"/>
    <w:p w:rsidR="004A6839" w:rsidRPr="004A6839" w:rsidRDefault="004A6839" w:rsidP="004A6839">
      <w:pPr>
        <w:rPr>
          <w:b/>
        </w:rPr>
      </w:pPr>
      <w:r w:rsidRPr="004A6839">
        <w:rPr>
          <w:b/>
        </w:rPr>
        <w:t>2021-22 Proposed Alternative Program Fees</w:t>
      </w:r>
    </w:p>
    <w:tbl>
      <w:tblPr>
        <w:tblStyle w:val="TableGrid"/>
        <w:tblW w:w="0" w:type="auto"/>
        <w:tblInd w:w="-5" w:type="dxa"/>
        <w:tblLook w:val="04A0" w:firstRow="1" w:lastRow="0" w:firstColumn="1" w:lastColumn="0" w:noHBand="0" w:noVBand="1"/>
      </w:tblPr>
      <w:tblGrid>
        <w:gridCol w:w="3136"/>
        <w:gridCol w:w="3081"/>
      </w:tblGrid>
      <w:tr w:rsidR="004A6839" w:rsidTr="00B47A75">
        <w:trPr>
          <w:trHeight w:val="259"/>
        </w:trPr>
        <w:tc>
          <w:tcPr>
            <w:tcW w:w="3136" w:type="dxa"/>
          </w:tcPr>
          <w:p w:rsidR="004A6839" w:rsidRDefault="004A6839" w:rsidP="00B47A75">
            <w:pPr>
              <w:pStyle w:val="ListParagraph"/>
              <w:ind w:left="0"/>
            </w:pPr>
            <w:r>
              <w:t xml:space="preserve">Islamic Instructors </w:t>
            </w:r>
          </w:p>
        </w:tc>
        <w:tc>
          <w:tcPr>
            <w:tcW w:w="3081" w:type="dxa"/>
          </w:tcPr>
          <w:p w:rsidR="004A6839" w:rsidRDefault="004A6839" w:rsidP="00B47A75">
            <w:pPr>
              <w:pStyle w:val="ListParagraph"/>
              <w:ind w:left="0"/>
            </w:pPr>
            <w:r>
              <w:t>$266</w:t>
            </w:r>
          </w:p>
        </w:tc>
      </w:tr>
      <w:tr w:rsidR="004A6839" w:rsidTr="00B47A75">
        <w:trPr>
          <w:trHeight w:val="245"/>
        </w:trPr>
        <w:tc>
          <w:tcPr>
            <w:tcW w:w="3136" w:type="dxa"/>
          </w:tcPr>
          <w:p w:rsidR="004A6839" w:rsidRDefault="004A6839" w:rsidP="00B47A75">
            <w:pPr>
              <w:pStyle w:val="ListParagraph"/>
              <w:ind w:left="0"/>
            </w:pPr>
            <w:r>
              <w:t>Islamic Studies Resources and Supplies</w:t>
            </w:r>
          </w:p>
        </w:tc>
        <w:tc>
          <w:tcPr>
            <w:tcW w:w="3081" w:type="dxa"/>
          </w:tcPr>
          <w:p w:rsidR="004A6839" w:rsidRDefault="004A6839" w:rsidP="00B47A75">
            <w:pPr>
              <w:pStyle w:val="ListParagraph"/>
              <w:ind w:left="0"/>
            </w:pPr>
            <w:r>
              <w:t>$70</w:t>
            </w:r>
          </w:p>
        </w:tc>
      </w:tr>
      <w:tr w:rsidR="004A6839" w:rsidTr="00B47A75">
        <w:trPr>
          <w:trHeight w:val="259"/>
        </w:trPr>
        <w:tc>
          <w:tcPr>
            <w:tcW w:w="3136" w:type="dxa"/>
          </w:tcPr>
          <w:p w:rsidR="004A6839" w:rsidRDefault="004A6839" w:rsidP="00B47A75">
            <w:pPr>
              <w:pStyle w:val="ListParagraph"/>
              <w:ind w:left="0"/>
            </w:pPr>
            <w:r>
              <w:t>Executive Director and Support Staff</w:t>
            </w:r>
          </w:p>
        </w:tc>
        <w:tc>
          <w:tcPr>
            <w:tcW w:w="3081" w:type="dxa"/>
          </w:tcPr>
          <w:p w:rsidR="004A6839" w:rsidRDefault="004A6839" w:rsidP="00B47A75">
            <w:pPr>
              <w:pStyle w:val="ListParagraph"/>
              <w:ind w:left="0"/>
            </w:pPr>
            <w:r>
              <w:t>$210</w:t>
            </w:r>
          </w:p>
        </w:tc>
      </w:tr>
      <w:tr w:rsidR="004A6839" w:rsidTr="00B47A75">
        <w:trPr>
          <w:trHeight w:val="245"/>
        </w:trPr>
        <w:tc>
          <w:tcPr>
            <w:tcW w:w="3136" w:type="dxa"/>
          </w:tcPr>
          <w:p w:rsidR="004A6839" w:rsidRDefault="004A6839" w:rsidP="00B47A75">
            <w:pPr>
              <w:pStyle w:val="ListParagraph"/>
              <w:ind w:left="0"/>
            </w:pPr>
            <w:r>
              <w:t>Facility Management and Upgrades</w:t>
            </w:r>
          </w:p>
        </w:tc>
        <w:tc>
          <w:tcPr>
            <w:tcW w:w="3081" w:type="dxa"/>
          </w:tcPr>
          <w:p w:rsidR="004A6839" w:rsidRDefault="004A6839" w:rsidP="00B47A75">
            <w:pPr>
              <w:pStyle w:val="ListParagraph"/>
              <w:ind w:left="0"/>
            </w:pPr>
            <w:r>
              <w:t>$854</w:t>
            </w:r>
          </w:p>
        </w:tc>
      </w:tr>
      <w:tr w:rsidR="004A6839" w:rsidTr="00B47A75">
        <w:trPr>
          <w:trHeight w:val="259"/>
        </w:trPr>
        <w:tc>
          <w:tcPr>
            <w:tcW w:w="3136" w:type="dxa"/>
          </w:tcPr>
          <w:p w:rsidR="004A6839" w:rsidRPr="00A3256B" w:rsidRDefault="004A6839" w:rsidP="00B47A75">
            <w:pPr>
              <w:pStyle w:val="ListParagraph"/>
              <w:ind w:left="0"/>
              <w:rPr>
                <w:b/>
              </w:rPr>
            </w:pPr>
            <w:r w:rsidRPr="00A3256B">
              <w:rPr>
                <w:b/>
              </w:rPr>
              <w:t>Recommended Fee - First Child</w:t>
            </w:r>
          </w:p>
        </w:tc>
        <w:tc>
          <w:tcPr>
            <w:tcW w:w="3081" w:type="dxa"/>
          </w:tcPr>
          <w:p w:rsidR="004A6839" w:rsidRPr="00A3256B" w:rsidRDefault="004A6839" w:rsidP="00B47A75">
            <w:pPr>
              <w:pStyle w:val="ListParagraph"/>
              <w:ind w:left="0"/>
              <w:rPr>
                <w:b/>
              </w:rPr>
            </w:pPr>
            <w:r w:rsidRPr="00A3256B">
              <w:rPr>
                <w:b/>
              </w:rPr>
              <w:t>$1,400</w:t>
            </w:r>
          </w:p>
        </w:tc>
      </w:tr>
    </w:tbl>
    <w:p w:rsidR="004A6839" w:rsidRDefault="004A6839" w:rsidP="004A6839">
      <w:pPr>
        <w:pStyle w:val="ListParagraph"/>
        <w:jc w:val="both"/>
      </w:pPr>
    </w:p>
    <w:tbl>
      <w:tblPr>
        <w:tblStyle w:val="TableGrid"/>
        <w:tblW w:w="0" w:type="auto"/>
        <w:tblLook w:val="04A0" w:firstRow="1" w:lastRow="0" w:firstColumn="1" w:lastColumn="0" w:noHBand="0" w:noVBand="1"/>
      </w:tblPr>
      <w:tblGrid>
        <w:gridCol w:w="3129"/>
        <w:gridCol w:w="3129"/>
      </w:tblGrid>
      <w:tr w:rsidR="004A6839" w:rsidTr="00B47A75">
        <w:trPr>
          <w:trHeight w:val="291"/>
        </w:trPr>
        <w:tc>
          <w:tcPr>
            <w:tcW w:w="3129" w:type="dxa"/>
          </w:tcPr>
          <w:p w:rsidR="004A6839" w:rsidRDefault="004A6839" w:rsidP="00B47A75">
            <w:r>
              <w:t>Islamic Instructors</w:t>
            </w:r>
          </w:p>
        </w:tc>
        <w:tc>
          <w:tcPr>
            <w:tcW w:w="3129" w:type="dxa"/>
          </w:tcPr>
          <w:p w:rsidR="004A6839" w:rsidRDefault="004A6839" w:rsidP="00B47A75">
            <w:r>
              <w:t>$266</w:t>
            </w:r>
          </w:p>
        </w:tc>
      </w:tr>
      <w:tr w:rsidR="004A6839" w:rsidTr="00B47A75">
        <w:trPr>
          <w:trHeight w:val="275"/>
        </w:trPr>
        <w:tc>
          <w:tcPr>
            <w:tcW w:w="3129" w:type="dxa"/>
          </w:tcPr>
          <w:p w:rsidR="004A6839" w:rsidRDefault="004A6839" w:rsidP="00B47A75">
            <w:r>
              <w:t>Islamic Studies Resources and Supplies</w:t>
            </w:r>
          </w:p>
        </w:tc>
        <w:tc>
          <w:tcPr>
            <w:tcW w:w="3129" w:type="dxa"/>
          </w:tcPr>
          <w:p w:rsidR="004A6839" w:rsidRDefault="004A6839" w:rsidP="00B47A75">
            <w:r>
              <w:t>$70</w:t>
            </w:r>
          </w:p>
        </w:tc>
      </w:tr>
      <w:tr w:rsidR="004A6839" w:rsidTr="00B47A75">
        <w:trPr>
          <w:trHeight w:val="291"/>
        </w:trPr>
        <w:tc>
          <w:tcPr>
            <w:tcW w:w="3129" w:type="dxa"/>
          </w:tcPr>
          <w:p w:rsidR="004A6839" w:rsidRDefault="004A6839" w:rsidP="00B47A75">
            <w:r>
              <w:t>Executive Director and Support Staff</w:t>
            </w:r>
          </w:p>
        </w:tc>
        <w:tc>
          <w:tcPr>
            <w:tcW w:w="3129" w:type="dxa"/>
          </w:tcPr>
          <w:p w:rsidR="004A6839" w:rsidRDefault="004A6839" w:rsidP="00B47A75">
            <w:r>
              <w:t>$210</w:t>
            </w:r>
          </w:p>
        </w:tc>
      </w:tr>
      <w:tr w:rsidR="004A6839" w:rsidTr="00B47A75">
        <w:trPr>
          <w:trHeight w:val="275"/>
        </w:trPr>
        <w:tc>
          <w:tcPr>
            <w:tcW w:w="3129" w:type="dxa"/>
          </w:tcPr>
          <w:p w:rsidR="004A6839" w:rsidRDefault="004A6839" w:rsidP="00B47A75">
            <w:r>
              <w:t xml:space="preserve">Facility Maintenance and Upgrade </w:t>
            </w:r>
          </w:p>
        </w:tc>
        <w:tc>
          <w:tcPr>
            <w:tcW w:w="3129" w:type="dxa"/>
          </w:tcPr>
          <w:p w:rsidR="004A6839" w:rsidRDefault="004A6839" w:rsidP="00B47A75">
            <w:r>
              <w:t>$654</w:t>
            </w:r>
          </w:p>
        </w:tc>
      </w:tr>
      <w:tr w:rsidR="004A6839" w:rsidTr="00B47A75">
        <w:trPr>
          <w:trHeight w:val="291"/>
        </w:trPr>
        <w:tc>
          <w:tcPr>
            <w:tcW w:w="3129" w:type="dxa"/>
          </w:tcPr>
          <w:p w:rsidR="004A6839" w:rsidRPr="00A3256B" w:rsidRDefault="004A6839" w:rsidP="00B47A75">
            <w:pPr>
              <w:rPr>
                <w:b/>
              </w:rPr>
            </w:pPr>
            <w:r w:rsidRPr="00A3256B">
              <w:rPr>
                <w:b/>
              </w:rPr>
              <w:t>Recommended Fee – Additional Children</w:t>
            </w:r>
          </w:p>
        </w:tc>
        <w:tc>
          <w:tcPr>
            <w:tcW w:w="3129" w:type="dxa"/>
          </w:tcPr>
          <w:p w:rsidR="004A6839" w:rsidRPr="00A3256B" w:rsidRDefault="004A6839" w:rsidP="00B47A75">
            <w:pPr>
              <w:rPr>
                <w:b/>
              </w:rPr>
            </w:pPr>
            <w:r w:rsidRPr="00A3256B">
              <w:rPr>
                <w:b/>
              </w:rPr>
              <w:t xml:space="preserve">$1200 </w:t>
            </w:r>
          </w:p>
        </w:tc>
      </w:tr>
    </w:tbl>
    <w:p w:rsidR="004A6839" w:rsidRDefault="004A6839" w:rsidP="004A6839">
      <w:pPr>
        <w:jc w:val="both"/>
      </w:pPr>
    </w:p>
    <w:p w:rsidR="004A6839" w:rsidRPr="004A6839" w:rsidRDefault="004A6839" w:rsidP="004A6839">
      <w:pPr>
        <w:jc w:val="both"/>
        <w:rPr>
          <w:b/>
        </w:rPr>
      </w:pPr>
      <w:r w:rsidRPr="004A6839">
        <w:rPr>
          <w:b/>
        </w:rPr>
        <w:t xml:space="preserve">2021-2022 Fee Payment Schedule </w:t>
      </w:r>
    </w:p>
    <w:tbl>
      <w:tblPr>
        <w:tblStyle w:val="TableGrid"/>
        <w:tblW w:w="0" w:type="auto"/>
        <w:tblLook w:val="04A0" w:firstRow="1" w:lastRow="0" w:firstColumn="1" w:lastColumn="0" w:noHBand="0" w:noVBand="1"/>
      </w:tblPr>
      <w:tblGrid>
        <w:gridCol w:w="3169"/>
        <w:gridCol w:w="3169"/>
      </w:tblGrid>
      <w:tr w:rsidR="004A6839" w:rsidTr="00B47A75">
        <w:trPr>
          <w:trHeight w:val="191"/>
        </w:trPr>
        <w:tc>
          <w:tcPr>
            <w:tcW w:w="3169" w:type="dxa"/>
          </w:tcPr>
          <w:p w:rsidR="004A6839" w:rsidRPr="00A3256B" w:rsidRDefault="004A6839" w:rsidP="00B47A75">
            <w:pPr>
              <w:rPr>
                <w:b/>
              </w:rPr>
            </w:pPr>
            <w:r w:rsidRPr="00A3256B">
              <w:rPr>
                <w:b/>
              </w:rPr>
              <w:t>Due Date</w:t>
            </w:r>
          </w:p>
        </w:tc>
        <w:tc>
          <w:tcPr>
            <w:tcW w:w="3169" w:type="dxa"/>
          </w:tcPr>
          <w:p w:rsidR="004A6839" w:rsidRPr="00A3256B" w:rsidRDefault="004A6839" w:rsidP="00B47A75">
            <w:pPr>
              <w:rPr>
                <w:b/>
              </w:rPr>
            </w:pPr>
            <w:r w:rsidRPr="00A3256B">
              <w:rPr>
                <w:b/>
              </w:rPr>
              <w:t>Amount</w:t>
            </w:r>
          </w:p>
        </w:tc>
      </w:tr>
      <w:tr w:rsidR="004A6839" w:rsidTr="00B47A75">
        <w:trPr>
          <w:trHeight w:val="180"/>
        </w:trPr>
        <w:tc>
          <w:tcPr>
            <w:tcW w:w="3169" w:type="dxa"/>
          </w:tcPr>
          <w:p w:rsidR="004A6839" w:rsidRDefault="004A6839" w:rsidP="00B47A75">
            <w:r>
              <w:t xml:space="preserve">June 21, 2021 </w:t>
            </w:r>
          </w:p>
        </w:tc>
        <w:tc>
          <w:tcPr>
            <w:tcW w:w="3169" w:type="dxa"/>
          </w:tcPr>
          <w:p w:rsidR="004A6839" w:rsidRDefault="004A6839" w:rsidP="00B47A75">
            <w:r>
              <w:t>$200</w:t>
            </w:r>
          </w:p>
        </w:tc>
      </w:tr>
      <w:tr w:rsidR="004A6839" w:rsidTr="00B47A75">
        <w:trPr>
          <w:trHeight w:val="383"/>
        </w:trPr>
        <w:tc>
          <w:tcPr>
            <w:tcW w:w="3169" w:type="dxa"/>
          </w:tcPr>
          <w:p w:rsidR="004A6839" w:rsidRDefault="004A6839" w:rsidP="00B47A75">
            <w:r>
              <w:t>September 13, 2021</w:t>
            </w:r>
          </w:p>
        </w:tc>
        <w:tc>
          <w:tcPr>
            <w:tcW w:w="3169" w:type="dxa"/>
          </w:tcPr>
          <w:p w:rsidR="004A6839" w:rsidRDefault="004A6839" w:rsidP="00B47A75">
            <w:r>
              <w:t>Additional $500 towards Alternative Program Fee for each child</w:t>
            </w:r>
          </w:p>
        </w:tc>
      </w:tr>
      <w:tr w:rsidR="004A6839" w:rsidTr="00B47A75">
        <w:trPr>
          <w:trHeight w:val="372"/>
        </w:trPr>
        <w:tc>
          <w:tcPr>
            <w:tcW w:w="3169" w:type="dxa"/>
          </w:tcPr>
          <w:p w:rsidR="004A6839" w:rsidRDefault="004A6839" w:rsidP="00B47A75">
            <w:r>
              <w:t>December 16, 2021</w:t>
            </w:r>
          </w:p>
        </w:tc>
        <w:tc>
          <w:tcPr>
            <w:tcW w:w="3169" w:type="dxa"/>
          </w:tcPr>
          <w:p w:rsidR="004A6839" w:rsidRDefault="004A6839" w:rsidP="00B47A75">
            <w:r>
              <w:t>Remaining balance of Alternative Program Fee for each child</w:t>
            </w:r>
          </w:p>
        </w:tc>
      </w:tr>
    </w:tbl>
    <w:p w:rsidR="004A6839" w:rsidRDefault="004A6839" w:rsidP="004A6839">
      <w:pPr>
        <w:jc w:val="both"/>
      </w:pPr>
      <w:r>
        <w:t>*This schedule is subject to change depending on financial standing with the Muslim Community Foundation of Calgary</w:t>
      </w:r>
    </w:p>
    <w:p w:rsidR="004A6839" w:rsidRDefault="004A6839" w:rsidP="004A6839">
      <w:pPr>
        <w:jc w:val="both"/>
      </w:pPr>
    </w:p>
    <w:p w:rsidR="004A6839" w:rsidRPr="004A6839" w:rsidRDefault="004A6839" w:rsidP="004A6839">
      <w:pPr>
        <w:jc w:val="both"/>
        <w:rPr>
          <w:b/>
        </w:rPr>
      </w:pPr>
      <w:r w:rsidRPr="004A6839">
        <w:rPr>
          <w:b/>
        </w:rPr>
        <w:t xml:space="preserve">What are the Fees used for? </w:t>
      </w:r>
    </w:p>
    <w:p w:rsidR="004A6839" w:rsidRDefault="004A6839" w:rsidP="004A6839">
      <w:pPr>
        <w:jc w:val="both"/>
      </w:pPr>
      <w:r>
        <w:lastRenderedPageBreak/>
        <w:t>The alternative program fees are used to continue to provide our students with an Islamic Education that includes: Program instructors, Islamic curriculum, Islamic Books, Islamic resources, guest speakers, retreats and much more. The fees are also used to operate, maintain and improve the facility that supports the alternative Islamic Education program provided by the Muslim Community Foundation of Calgary.</w:t>
      </w:r>
    </w:p>
    <w:p w:rsidR="004A6839" w:rsidRDefault="004A6839" w:rsidP="004A6839">
      <w:pPr>
        <w:jc w:val="both"/>
      </w:pPr>
    </w:p>
    <w:p w:rsidR="004A6839" w:rsidRPr="004A6839" w:rsidRDefault="004A6839" w:rsidP="004A6839">
      <w:pPr>
        <w:jc w:val="both"/>
        <w:rPr>
          <w:b/>
        </w:rPr>
      </w:pPr>
      <w:r w:rsidRPr="004A6839">
        <w:rPr>
          <w:b/>
        </w:rPr>
        <w:t>School Materials and Supplies</w:t>
      </w:r>
    </w:p>
    <w:p w:rsidR="004A6839" w:rsidRDefault="004A6839" w:rsidP="004A6839">
      <w:pPr>
        <w:jc w:val="both"/>
      </w:pPr>
      <w:r>
        <w:t xml:space="preserve">Every student in grades K - 9 will be charged a material/supplies fee. For the 2021-2022 school year the fee will be $30.00 </w:t>
      </w:r>
    </w:p>
    <w:p w:rsidR="004A6839" w:rsidRDefault="004A6839" w:rsidP="004A6839">
      <w:pPr>
        <w:jc w:val="both"/>
      </w:pPr>
      <w:r>
        <w:t>Field trip fees are collected prior to</w:t>
      </w:r>
      <w:r>
        <w:t xml:space="preserve"> the</w:t>
      </w:r>
      <w:r>
        <w:t xml:space="preserve"> field trip taking place for students in KG - 9 and are dependent on</w:t>
      </w:r>
      <w:r>
        <w:t xml:space="preserve"> COVID regulations/restrictions, </w:t>
      </w:r>
      <w:r>
        <w:t xml:space="preserve">the student's grade and the type of activity that is planned. These fees are payable through School Cash Online. </w:t>
      </w:r>
    </w:p>
    <w:p w:rsidR="004A6839" w:rsidRDefault="004A6839" w:rsidP="004A6839">
      <w:pPr>
        <w:jc w:val="both"/>
      </w:pPr>
      <w:r>
        <w:t>Depending on the student's grade, extra-curricular activities and options chosen, there may also be additional fees that are payable through School Cash Online.</w:t>
      </w:r>
    </w:p>
    <w:p w:rsidR="0029103D" w:rsidRDefault="0029103D">
      <w:pPr>
        <w:spacing w:before="240" w:after="200"/>
        <w:rPr>
          <w:rFonts w:ascii="Calibri" w:eastAsia="Calibri" w:hAnsi="Calibri" w:cs="Calibri"/>
          <w:sz w:val="20"/>
          <w:szCs w:val="20"/>
        </w:rPr>
      </w:pPr>
    </w:p>
    <w:sectPr w:rsidR="0029103D">
      <w:footerReference w:type="default" r:id="rId10"/>
      <w:pgSz w:w="12240" w:h="15840"/>
      <w:pgMar w:top="426" w:right="720" w:bottom="720" w:left="720" w:header="720"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D79" w:rsidRDefault="008C6D79">
      <w:r>
        <w:separator/>
      </w:r>
    </w:p>
  </w:endnote>
  <w:endnote w:type="continuationSeparator" w:id="0">
    <w:p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B Garamond">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03D" w:rsidRDefault="00EC2048">
    <w:pPr>
      <w:ind w:right="-720"/>
      <w:jc w:val="center"/>
      <w:rPr>
        <w:rFonts w:ascii="Calibri" w:eastAsia="Calibri" w:hAnsi="Calibri" w:cs="Calibri"/>
        <w:b/>
        <w:i/>
        <w:sz w:val="20"/>
        <w:szCs w:val="20"/>
      </w:rPr>
    </w:pPr>
    <w:r>
      <w:rPr>
        <w:rFonts w:ascii="Calibri" w:eastAsia="Calibri" w:hAnsi="Calibri" w:cs="Calibri"/>
        <w:b/>
        <w:i/>
        <w:sz w:val="20"/>
        <w:szCs w:val="20"/>
      </w:rPr>
      <w:t xml:space="preserve">Together we will ensure learning success for all students </w:t>
    </w:r>
    <w:r>
      <w:rPr>
        <w:rFonts w:ascii="Calibri" w:eastAsia="Calibri" w:hAnsi="Calibri" w:cs="Calibri"/>
        <w:b/>
        <w:i/>
        <w:sz w:val="20"/>
        <w:szCs w:val="20"/>
      </w:rPr>
      <w:br/>
      <w:t>to develop their unique potential as caring citizens in a changing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D79" w:rsidRDefault="008C6D79">
      <w:r>
        <w:separator/>
      </w:r>
    </w:p>
  </w:footnote>
  <w:footnote w:type="continuationSeparator" w:id="0">
    <w:p w:rsidR="008C6D79" w:rsidRDefault="008C6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3D"/>
    <w:rsid w:val="0029103D"/>
    <w:rsid w:val="004A6839"/>
    <w:rsid w:val="008C6D79"/>
    <w:rsid w:val="00970531"/>
    <w:rsid w:val="00EC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59D"/>
  <w15:docId w15:val="{68CA6328-908C-4BA7-BBA0-8606F3E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39"/>
    <w:rsid w:val="00F249D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eastAsia="en-CA"/>
    </w:rPr>
  </w:style>
  <w:style w:type="paragraph" w:customStyle="1" w:styleId="Default">
    <w:name w:val="Default"/>
    <w:rsid w:val="00B55B8D"/>
    <w:pPr>
      <w:autoSpaceDE w:val="0"/>
      <w:autoSpaceDN w:val="0"/>
      <w:adjustRightInd w:val="0"/>
    </w:pPr>
    <w:rPr>
      <w:rFonts w:ascii="Arial" w:eastAsia="Calibri" w:hAnsi="Arial" w:cs="Arial"/>
      <w:color w:val="000000"/>
      <w:sz w:val="24"/>
      <w:szCs w:val="24"/>
    </w:rPr>
  </w:style>
  <w:style w:type="character" w:customStyle="1" w:styleId="aqj">
    <w:name w:val="aqj"/>
    <w:basedOn w:val="DefaultParagraphFont"/>
    <w:rsid w:val="00B55B8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llisersd.ab.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o6HPB1qmqzwL7Hyikp5nLaw3Q==">AMUW2mUSEL+ahlUfTijrvIwf1lxD9p5WjE5NArfdpYWy03as0rqb19OCtCGi7dStrbheC9K9+14ECDcgi5rauMF5UpIgqQEnd9JJJcZEaKXpP8caAu5tGsQgb8z+lKb3sV+p6we5r1un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Sorge</dc:creator>
  <cp:lastModifiedBy>Noorin Chatur-Muhammad</cp:lastModifiedBy>
  <cp:revision>2</cp:revision>
  <dcterms:created xsi:type="dcterms:W3CDTF">2021-09-22T19:32:00Z</dcterms:created>
  <dcterms:modified xsi:type="dcterms:W3CDTF">2021-09-22T19:32:00Z</dcterms:modified>
</cp:coreProperties>
</file>